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20CB" w14:textId="77777777" w:rsidR="005A57DB" w:rsidRPr="005A57DB" w:rsidRDefault="005A57DB" w:rsidP="005A57DB">
      <w:pPr>
        <w:jc w:val="both"/>
        <w:rPr>
          <w:rFonts w:ascii="Calibri" w:hAnsi="Calibri" w:cs="Calibri"/>
          <w:b/>
          <w:bCs/>
          <w:sz w:val="22"/>
          <w:szCs w:val="22"/>
        </w:rPr>
      </w:pPr>
      <w:r w:rsidRPr="005A57DB">
        <w:rPr>
          <w:rFonts w:ascii="Calibri" w:hAnsi="Calibri" w:cs="Calibri"/>
          <w:b/>
          <w:bCs/>
          <w:sz w:val="22"/>
          <w:szCs w:val="22"/>
        </w:rPr>
        <w:t>Adelaide University Council Meeting – Summary</w:t>
      </w:r>
    </w:p>
    <w:p w14:paraId="79D2F05F" w14:textId="77777777" w:rsidR="005A57DB" w:rsidRPr="005A57DB" w:rsidRDefault="005A57DB" w:rsidP="005A57DB">
      <w:pPr>
        <w:jc w:val="both"/>
        <w:rPr>
          <w:rFonts w:ascii="Calibri" w:hAnsi="Calibri" w:cs="Calibri"/>
          <w:sz w:val="22"/>
          <w:szCs w:val="22"/>
        </w:rPr>
      </w:pPr>
      <w:r w:rsidRPr="005A57DB">
        <w:rPr>
          <w:rFonts w:ascii="Calibri" w:hAnsi="Calibri" w:cs="Calibri"/>
          <w:b/>
          <w:bCs/>
          <w:sz w:val="22"/>
          <w:szCs w:val="22"/>
        </w:rPr>
        <w:t>Date:</w:t>
      </w:r>
      <w:r w:rsidRPr="005A57DB">
        <w:rPr>
          <w:rFonts w:ascii="Calibri" w:hAnsi="Calibri" w:cs="Calibri"/>
          <w:sz w:val="22"/>
          <w:szCs w:val="22"/>
        </w:rPr>
        <w:t xml:space="preserve"> 31 March 2026</w:t>
      </w:r>
    </w:p>
    <w:p w14:paraId="7072FDD9" w14:textId="40B9E360" w:rsidR="005A57DB" w:rsidRPr="005A57DB" w:rsidRDefault="005A57DB" w:rsidP="005A57DB">
      <w:pPr>
        <w:jc w:val="both"/>
        <w:rPr>
          <w:rFonts w:ascii="Calibri" w:hAnsi="Calibri" w:cs="Calibri"/>
          <w:sz w:val="22"/>
          <w:szCs w:val="22"/>
        </w:rPr>
      </w:pPr>
      <w:r w:rsidRPr="005A57DB">
        <w:rPr>
          <w:rFonts w:ascii="Calibri" w:hAnsi="Calibri" w:cs="Calibri"/>
          <w:sz w:val="22"/>
          <w:szCs w:val="22"/>
        </w:rPr>
        <w:t>The Adelaide University Council met on 31 March 2026 for its second formal meeting of the year, following a half</w:t>
      </w:r>
      <w:r w:rsidRPr="005A57DB">
        <w:rPr>
          <w:rFonts w:ascii="Calibri" w:hAnsi="Calibri" w:cs="Calibri"/>
          <w:sz w:val="22"/>
          <w:szCs w:val="22"/>
        </w:rPr>
        <w:noBreakHyphen/>
        <w:t>day strategy workshop with the Vice</w:t>
      </w:r>
      <w:r>
        <w:rPr>
          <w:rFonts w:ascii="Calibri" w:hAnsi="Calibri" w:cs="Calibri"/>
          <w:sz w:val="22"/>
          <w:szCs w:val="22"/>
        </w:rPr>
        <w:t xml:space="preserve"> </w:t>
      </w:r>
      <w:r w:rsidRPr="005A57DB">
        <w:rPr>
          <w:rFonts w:ascii="Calibri" w:hAnsi="Calibri" w:cs="Calibri"/>
          <w:sz w:val="22"/>
          <w:szCs w:val="22"/>
        </w:rPr>
        <w:t>Chancellor’s Group. The workshop focused on clarifying collective priorities for 2026 and laying the foundations for the University’s next phase of development as a new, integrated institution.</w:t>
      </w:r>
    </w:p>
    <w:p w14:paraId="06814E7E" w14:textId="77777777" w:rsidR="005A57DB" w:rsidRPr="005A57DB" w:rsidRDefault="005A57DB" w:rsidP="005A57DB">
      <w:pPr>
        <w:jc w:val="both"/>
        <w:rPr>
          <w:rFonts w:ascii="Calibri" w:hAnsi="Calibri" w:cs="Calibri"/>
          <w:b/>
          <w:bCs/>
          <w:sz w:val="22"/>
          <w:szCs w:val="22"/>
        </w:rPr>
      </w:pPr>
      <w:r w:rsidRPr="005A57DB">
        <w:rPr>
          <w:rFonts w:ascii="Calibri" w:hAnsi="Calibri" w:cs="Calibri"/>
          <w:b/>
          <w:bCs/>
          <w:sz w:val="22"/>
          <w:szCs w:val="22"/>
        </w:rPr>
        <w:t>Strategy and institutional direction</w:t>
      </w:r>
    </w:p>
    <w:p w14:paraId="29ACF78A" w14:textId="685FFD98" w:rsidR="005A57DB" w:rsidRPr="005A57DB" w:rsidRDefault="005A57DB" w:rsidP="005A57DB">
      <w:pPr>
        <w:jc w:val="both"/>
        <w:rPr>
          <w:rFonts w:ascii="Calibri" w:hAnsi="Calibri" w:cs="Calibri"/>
          <w:sz w:val="22"/>
          <w:szCs w:val="22"/>
        </w:rPr>
      </w:pPr>
      <w:r w:rsidRPr="005A57DB">
        <w:rPr>
          <w:rFonts w:ascii="Calibri" w:hAnsi="Calibri" w:cs="Calibri"/>
          <w:sz w:val="22"/>
          <w:szCs w:val="22"/>
        </w:rPr>
        <w:t>Council and the Vice</w:t>
      </w:r>
      <w:r>
        <w:rPr>
          <w:rFonts w:ascii="Calibri" w:hAnsi="Calibri" w:cs="Calibri"/>
          <w:sz w:val="22"/>
          <w:szCs w:val="22"/>
        </w:rPr>
        <w:t xml:space="preserve"> </w:t>
      </w:r>
      <w:r w:rsidRPr="005A57DB">
        <w:rPr>
          <w:rFonts w:ascii="Calibri" w:hAnsi="Calibri" w:cs="Calibri"/>
          <w:sz w:val="22"/>
          <w:szCs w:val="22"/>
        </w:rPr>
        <w:t>Chancellor’s Group engaged in a focused discussion on the operating context facing Adelaide University in 2026, the foundational work required to develop a comprehensive institutional strategy, and the cultural settings needed to support a university of scale, ambition and impact. Council agreed that this work will continue through a further strategy workshop later in the year as the University moves from establishment into consolidation and growth.</w:t>
      </w:r>
    </w:p>
    <w:p w14:paraId="0033F657" w14:textId="77777777" w:rsidR="005A57DB" w:rsidRPr="005A57DB" w:rsidRDefault="005A57DB" w:rsidP="005A57DB">
      <w:pPr>
        <w:jc w:val="both"/>
        <w:rPr>
          <w:rFonts w:ascii="Calibri" w:hAnsi="Calibri" w:cs="Calibri"/>
          <w:b/>
          <w:bCs/>
          <w:sz w:val="22"/>
          <w:szCs w:val="22"/>
        </w:rPr>
      </w:pPr>
      <w:r w:rsidRPr="005A57DB">
        <w:rPr>
          <w:rFonts w:ascii="Calibri" w:hAnsi="Calibri" w:cs="Calibri"/>
          <w:b/>
          <w:bCs/>
          <w:sz w:val="22"/>
          <w:szCs w:val="22"/>
        </w:rPr>
        <w:t>Academic governance</w:t>
      </w:r>
    </w:p>
    <w:p w14:paraId="647E05CD" w14:textId="3624F988" w:rsidR="005A57DB" w:rsidRPr="005A57DB" w:rsidRDefault="005A57DB" w:rsidP="005A57DB">
      <w:pPr>
        <w:jc w:val="both"/>
        <w:rPr>
          <w:rFonts w:ascii="Calibri" w:hAnsi="Calibri" w:cs="Calibri"/>
          <w:sz w:val="22"/>
          <w:szCs w:val="22"/>
        </w:rPr>
      </w:pPr>
      <w:r>
        <w:rPr>
          <w:rFonts w:ascii="Calibri" w:hAnsi="Calibri" w:cs="Calibri"/>
          <w:sz w:val="22"/>
          <w:szCs w:val="22"/>
        </w:rPr>
        <w:t xml:space="preserve">Upon receiving a report highlighting the activities of the </w:t>
      </w:r>
      <w:r w:rsidRPr="005A57DB">
        <w:rPr>
          <w:rFonts w:ascii="Calibri" w:hAnsi="Calibri" w:cs="Calibri"/>
          <w:sz w:val="22"/>
          <w:szCs w:val="22"/>
        </w:rPr>
        <w:t>Transitional Academic Board</w:t>
      </w:r>
      <w:r>
        <w:rPr>
          <w:rFonts w:ascii="Calibri" w:hAnsi="Calibri" w:cs="Calibri"/>
          <w:sz w:val="22"/>
          <w:szCs w:val="22"/>
        </w:rPr>
        <w:t xml:space="preserve"> throughout 2024 and 2025, </w:t>
      </w:r>
      <w:r w:rsidRPr="005A57DB">
        <w:rPr>
          <w:rFonts w:ascii="Calibri" w:hAnsi="Calibri" w:cs="Calibri"/>
          <w:sz w:val="22"/>
          <w:szCs w:val="22"/>
        </w:rPr>
        <w:t xml:space="preserve">Council acknowledged the substantial body of work undertaken by the </w:t>
      </w:r>
      <w:r>
        <w:rPr>
          <w:rFonts w:ascii="Calibri" w:hAnsi="Calibri" w:cs="Calibri"/>
          <w:sz w:val="22"/>
          <w:szCs w:val="22"/>
        </w:rPr>
        <w:t>group</w:t>
      </w:r>
      <w:r w:rsidRPr="005A57DB">
        <w:rPr>
          <w:rFonts w:ascii="Calibri" w:hAnsi="Calibri" w:cs="Calibri"/>
          <w:sz w:val="22"/>
          <w:szCs w:val="22"/>
        </w:rPr>
        <w:t xml:space="preserve"> in supporting the establishment of academic governance arrangements for the new institution and ensuring alignment with the Higher Education Standards Framework. Council approved the Terms of Reference for </w:t>
      </w:r>
      <w:r>
        <w:rPr>
          <w:rFonts w:ascii="Calibri" w:hAnsi="Calibri" w:cs="Calibri"/>
          <w:sz w:val="22"/>
          <w:szCs w:val="22"/>
        </w:rPr>
        <w:t>a</w:t>
      </w:r>
      <w:r w:rsidRPr="005A57DB">
        <w:rPr>
          <w:rFonts w:ascii="Calibri" w:hAnsi="Calibri" w:cs="Calibri"/>
          <w:sz w:val="22"/>
          <w:szCs w:val="22"/>
        </w:rPr>
        <w:t xml:space="preserve"> permanent Academic Board and resolved to dissolve the Transitional Academic Board, with the commencement date of the new Academic Board to be determined by the Chancellor.</w:t>
      </w:r>
    </w:p>
    <w:p w14:paraId="51B16B08" w14:textId="77777777" w:rsidR="005A57DB" w:rsidRPr="005A57DB" w:rsidRDefault="005A57DB" w:rsidP="005A57DB">
      <w:pPr>
        <w:jc w:val="both"/>
        <w:rPr>
          <w:rFonts w:ascii="Calibri" w:hAnsi="Calibri" w:cs="Calibri"/>
          <w:sz w:val="22"/>
          <w:szCs w:val="22"/>
        </w:rPr>
      </w:pPr>
      <w:r w:rsidRPr="005A57DB">
        <w:rPr>
          <w:rFonts w:ascii="Calibri" w:hAnsi="Calibri" w:cs="Calibri"/>
          <w:sz w:val="22"/>
          <w:szCs w:val="22"/>
        </w:rPr>
        <w:t>In approving the new arrangements, Council emphasised the importance of elected membership, broad disciplinary representation, strong student participation, and meaningful Aboriginal and Torres Strait Islander representation as central to effective academic governance.</w:t>
      </w:r>
    </w:p>
    <w:p w14:paraId="27AE5C0F" w14:textId="77777777" w:rsidR="005A57DB" w:rsidRPr="005A57DB" w:rsidRDefault="005A57DB" w:rsidP="005A57DB">
      <w:pPr>
        <w:jc w:val="both"/>
        <w:rPr>
          <w:rFonts w:ascii="Calibri" w:hAnsi="Calibri" w:cs="Calibri"/>
          <w:b/>
          <w:bCs/>
          <w:sz w:val="22"/>
          <w:szCs w:val="22"/>
        </w:rPr>
      </w:pPr>
      <w:r w:rsidRPr="005A57DB">
        <w:rPr>
          <w:rFonts w:ascii="Calibri" w:hAnsi="Calibri" w:cs="Calibri"/>
          <w:b/>
          <w:bCs/>
          <w:sz w:val="22"/>
          <w:szCs w:val="22"/>
        </w:rPr>
        <w:t>Risk, audit and financial oversight</w:t>
      </w:r>
    </w:p>
    <w:p w14:paraId="670E6105" w14:textId="77777777" w:rsidR="005A57DB" w:rsidRPr="005A57DB" w:rsidRDefault="005A57DB" w:rsidP="005A57DB">
      <w:pPr>
        <w:jc w:val="both"/>
        <w:rPr>
          <w:rFonts w:ascii="Calibri" w:hAnsi="Calibri" w:cs="Calibri"/>
          <w:sz w:val="22"/>
          <w:szCs w:val="22"/>
        </w:rPr>
      </w:pPr>
      <w:r w:rsidRPr="005A57DB">
        <w:rPr>
          <w:rFonts w:ascii="Calibri" w:hAnsi="Calibri" w:cs="Calibri"/>
          <w:sz w:val="22"/>
          <w:szCs w:val="22"/>
        </w:rPr>
        <w:t>Council approved the University’s Enterprise Risk Profile, noting that it represents the first full iteration of risk reporting under the new operating environment. Council discussed changes to risk ratings reflecting transition</w:t>
      </w:r>
      <w:r w:rsidRPr="005A57DB">
        <w:rPr>
          <w:rFonts w:ascii="Calibri" w:hAnsi="Calibri" w:cs="Calibri"/>
          <w:sz w:val="22"/>
          <w:szCs w:val="22"/>
        </w:rPr>
        <w:noBreakHyphen/>
        <w:t>related impacts, including student experience, digital infrastructure and systems stabilisation, and noted the need for continued monitoring of external risks such as geopolitical uncertainty and inflationary pressures.</w:t>
      </w:r>
    </w:p>
    <w:p w14:paraId="2DACF826" w14:textId="77777777" w:rsidR="005A57DB" w:rsidRPr="005A57DB" w:rsidRDefault="005A57DB" w:rsidP="005A57DB">
      <w:pPr>
        <w:jc w:val="both"/>
        <w:rPr>
          <w:rFonts w:ascii="Calibri" w:hAnsi="Calibri" w:cs="Calibri"/>
          <w:sz w:val="22"/>
          <w:szCs w:val="22"/>
        </w:rPr>
      </w:pPr>
      <w:r w:rsidRPr="005A57DB">
        <w:rPr>
          <w:rFonts w:ascii="Calibri" w:hAnsi="Calibri" w:cs="Calibri"/>
          <w:sz w:val="22"/>
          <w:szCs w:val="22"/>
        </w:rPr>
        <w:t>Council also approved the Internal Audit Charter, Internal Audit Strategy and the 2026 Internal Audit Plan, endorsing a staged and risk</w:t>
      </w:r>
      <w:r w:rsidRPr="005A57DB">
        <w:rPr>
          <w:rFonts w:ascii="Calibri" w:hAnsi="Calibri" w:cs="Calibri"/>
          <w:sz w:val="22"/>
          <w:szCs w:val="22"/>
        </w:rPr>
        <w:noBreakHyphen/>
        <w:t>based approach appropriate to the University’s establishment phase. Council noted that audited financial statements will be considered later in the year.</w:t>
      </w:r>
    </w:p>
    <w:p w14:paraId="5FB8A2E5" w14:textId="77777777" w:rsidR="005A57DB" w:rsidRPr="005A57DB" w:rsidRDefault="005A57DB" w:rsidP="005A57DB">
      <w:pPr>
        <w:jc w:val="both"/>
        <w:rPr>
          <w:rFonts w:ascii="Calibri" w:hAnsi="Calibri" w:cs="Calibri"/>
          <w:b/>
          <w:bCs/>
          <w:sz w:val="22"/>
          <w:szCs w:val="22"/>
        </w:rPr>
      </w:pPr>
      <w:r w:rsidRPr="005A57DB">
        <w:rPr>
          <w:rFonts w:ascii="Calibri" w:hAnsi="Calibri" w:cs="Calibri"/>
          <w:b/>
          <w:bCs/>
          <w:sz w:val="22"/>
          <w:szCs w:val="22"/>
        </w:rPr>
        <w:t>Regulatory assurance</w:t>
      </w:r>
    </w:p>
    <w:p w14:paraId="494E03E8" w14:textId="1AC2F5E8" w:rsidR="005A57DB" w:rsidRPr="005A57DB" w:rsidRDefault="005A57DB" w:rsidP="005A57DB">
      <w:pPr>
        <w:jc w:val="both"/>
        <w:rPr>
          <w:rFonts w:ascii="Calibri" w:hAnsi="Calibri" w:cs="Calibri"/>
          <w:sz w:val="22"/>
          <w:szCs w:val="22"/>
        </w:rPr>
      </w:pPr>
      <w:r w:rsidRPr="005A57DB">
        <w:rPr>
          <w:rFonts w:ascii="Calibri" w:hAnsi="Calibri" w:cs="Calibri"/>
          <w:sz w:val="22"/>
          <w:szCs w:val="22"/>
        </w:rPr>
        <w:t>Council approved the Vice</w:t>
      </w:r>
      <w:r>
        <w:rPr>
          <w:rFonts w:ascii="Calibri" w:hAnsi="Calibri" w:cs="Calibri"/>
          <w:sz w:val="22"/>
          <w:szCs w:val="22"/>
        </w:rPr>
        <w:t xml:space="preserve"> </w:t>
      </w:r>
      <w:r w:rsidRPr="005A57DB">
        <w:rPr>
          <w:rFonts w:ascii="Calibri" w:hAnsi="Calibri" w:cs="Calibri"/>
          <w:sz w:val="22"/>
          <w:szCs w:val="22"/>
        </w:rPr>
        <w:t>Chancellor’s inaugural attestation to the Tertiary Education Quality and Standards Agency under the Statement of Regulatory Expectations: Compliance with Workplace Obligations. Council was satisfied that the attestation and supporting evidence fairly and accurately reflect the University’s current compliance posture and the work underway to embed robust governance and operating frameworks.</w:t>
      </w:r>
    </w:p>
    <w:p w14:paraId="50F8B784" w14:textId="77777777" w:rsidR="005A57DB" w:rsidRPr="00126094" w:rsidRDefault="005A57DB" w:rsidP="005A57DB">
      <w:pPr>
        <w:jc w:val="both"/>
        <w:rPr>
          <w:rFonts w:ascii="Calibri" w:hAnsi="Calibri" w:cs="Calibri"/>
          <w:b/>
          <w:bCs/>
          <w:sz w:val="22"/>
          <w:szCs w:val="22"/>
        </w:rPr>
      </w:pPr>
      <w:r w:rsidRPr="00126094">
        <w:rPr>
          <w:rFonts w:ascii="Calibri" w:hAnsi="Calibri" w:cs="Calibri"/>
          <w:b/>
          <w:bCs/>
          <w:sz w:val="22"/>
          <w:szCs w:val="22"/>
        </w:rPr>
        <w:t>Students and workforce matters</w:t>
      </w:r>
    </w:p>
    <w:p w14:paraId="70A533CB" w14:textId="798CBDE5" w:rsidR="005A57DB" w:rsidRPr="00EB5C4F" w:rsidRDefault="005A57DB" w:rsidP="005A57DB">
      <w:pPr>
        <w:jc w:val="both"/>
        <w:rPr>
          <w:rFonts w:ascii="Calibri" w:hAnsi="Calibri" w:cs="Calibri"/>
          <w:sz w:val="22"/>
          <w:szCs w:val="22"/>
        </w:rPr>
      </w:pPr>
      <w:r w:rsidRPr="00126094">
        <w:rPr>
          <w:rFonts w:ascii="Calibri" w:hAnsi="Calibri" w:cs="Calibri"/>
          <w:sz w:val="22"/>
          <w:szCs w:val="22"/>
        </w:rPr>
        <w:lastRenderedPageBreak/>
        <w:t xml:space="preserve">Council </w:t>
      </w:r>
      <w:r w:rsidR="00A85AF6" w:rsidRPr="00126094">
        <w:rPr>
          <w:rFonts w:ascii="Calibri" w:hAnsi="Calibri" w:cs="Calibri"/>
          <w:sz w:val="22"/>
          <w:szCs w:val="22"/>
        </w:rPr>
        <w:t>received an update on</w:t>
      </w:r>
      <w:r w:rsidRPr="00126094">
        <w:rPr>
          <w:rFonts w:ascii="Calibri" w:hAnsi="Calibri" w:cs="Calibri"/>
          <w:sz w:val="22"/>
          <w:szCs w:val="22"/>
        </w:rPr>
        <w:t xml:space="preserve"> </w:t>
      </w:r>
      <w:r w:rsidR="00127E51" w:rsidRPr="00126094">
        <w:rPr>
          <w:rFonts w:ascii="Calibri" w:hAnsi="Calibri" w:cs="Calibri"/>
          <w:sz w:val="22"/>
          <w:szCs w:val="22"/>
        </w:rPr>
        <w:t xml:space="preserve">and discussed </w:t>
      </w:r>
      <w:r w:rsidRPr="00126094">
        <w:rPr>
          <w:rFonts w:ascii="Calibri" w:hAnsi="Calibri" w:cs="Calibri"/>
          <w:sz w:val="22"/>
          <w:szCs w:val="22"/>
        </w:rPr>
        <w:t xml:space="preserve">student enrolment </w:t>
      </w:r>
      <w:r w:rsidR="00A85AF6" w:rsidRPr="00126094">
        <w:rPr>
          <w:rFonts w:ascii="Calibri" w:hAnsi="Calibri" w:cs="Calibri"/>
          <w:sz w:val="22"/>
          <w:szCs w:val="22"/>
        </w:rPr>
        <w:t xml:space="preserve">experiences and </w:t>
      </w:r>
      <w:r w:rsidRPr="00126094">
        <w:rPr>
          <w:rFonts w:ascii="Calibri" w:hAnsi="Calibri" w:cs="Calibri"/>
          <w:sz w:val="22"/>
          <w:szCs w:val="22"/>
        </w:rPr>
        <w:t xml:space="preserve">trends </w:t>
      </w:r>
      <w:r w:rsidR="00A85AF6" w:rsidRPr="00126094">
        <w:rPr>
          <w:rFonts w:ascii="Calibri" w:hAnsi="Calibri" w:cs="Calibri"/>
          <w:sz w:val="22"/>
          <w:szCs w:val="22"/>
        </w:rPr>
        <w:t xml:space="preserve">and </w:t>
      </w:r>
      <w:r w:rsidRPr="00126094">
        <w:rPr>
          <w:rFonts w:ascii="Calibri" w:hAnsi="Calibri" w:cs="Calibri"/>
          <w:sz w:val="22"/>
          <w:szCs w:val="22"/>
        </w:rPr>
        <w:t xml:space="preserve">domestic </w:t>
      </w:r>
      <w:r w:rsidRPr="00EB5C4F">
        <w:rPr>
          <w:rFonts w:ascii="Calibri" w:hAnsi="Calibri" w:cs="Calibri"/>
          <w:sz w:val="22"/>
          <w:szCs w:val="22"/>
        </w:rPr>
        <w:t xml:space="preserve">and international recruitment dynamics. </w:t>
      </w:r>
      <w:r w:rsidR="00A85AF6" w:rsidRPr="00EB5C4F">
        <w:rPr>
          <w:rFonts w:ascii="Calibri" w:hAnsi="Calibri" w:cs="Calibri"/>
          <w:sz w:val="22"/>
          <w:szCs w:val="22"/>
        </w:rPr>
        <w:t>Council also received update on matters from Deputy Vice Chancellors on matters relating to their portfolios</w:t>
      </w:r>
      <w:r w:rsidR="00127E51" w:rsidRPr="00EB5C4F">
        <w:rPr>
          <w:rFonts w:ascii="Calibri" w:hAnsi="Calibri" w:cs="Calibri"/>
          <w:sz w:val="22"/>
          <w:szCs w:val="22"/>
        </w:rPr>
        <w:t xml:space="preserve"> including </w:t>
      </w:r>
      <w:r w:rsidRPr="00EB5C4F">
        <w:rPr>
          <w:rFonts w:ascii="Calibri" w:hAnsi="Calibri" w:cs="Calibri"/>
          <w:sz w:val="22"/>
          <w:szCs w:val="22"/>
        </w:rPr>
        <w:t>an update on payroll payment reviews and actions underway to strengthen assurance over historical and current wage accuracy.</w:t>
      </w:r>
      <w:r w:rsidR="00127E51" w:rsidRPr="00EB5C4F">
        <w:rPr>
          <w:rFonts w:ascii="Calibri" w:hAnsi="Calibri" w:cs="Calibri"/>
          <w:sz w:val="22"/>
          <w:szCs w:val="22"/>
        </w:rPr>
        <w:t xml:space="preserve">  </w:t>
      </w:r>
    </w:p>
    <w:p w14:paraId="1FDE67ED" w14:textId="77777777" w:rsidR="005A57DB" w:rsidRPr="00EB5C4F" w:rsidRDefault="005A57DB" w:rsidP="005A57DB">
      <w:pPr>
        <w:jc w:val="both"/>
        <w:rPr>
          <w:rFonts w:ascii="Calibri" w:hAnsi="Calibri" w:cs="Calibri"/>
          <w:b/>
          <w:bCs/>
          <w:sz w:val="22"/>
          <w:szCs w:val="22"/>
        </w:rPr>
      </w:pPr>
      <w:r w:rsidRPr="00EB5C4F">
        <w:rPr>
          <w:rFonts w:ascii="Calibri" w:hAnsi="Calibri" w:cs="Calibri"/>
          <w:b/>
          <w:bCs/>
          <w:sz w:val="22"/>
          <w:szCs w:val="22"/>
        </w:rPr>
        <w:t>Governance and Council business</w:t>
      </w:r>
    </w:p>
    <w:p w14:paraId="3245B9F4" w14:textId="77777777" w:rsidR="005A57DB" w:rsidRPr="00EB5C4F" w:rsidRDefault="005A57DB" w:rsidP="005A57DB">
      <w:pPr>
        <w:jc w:val="both"/>
        <w:rPr>
          <w:rFonts w:ascii="Calibri" w:hAnsi="Calibri" w:cs="Calibri"/>
          <w:sz w:val="22"/>
          <w:szCs w:val="22"/>
        </w:rPr>
      </w:pPr>
      <w:r w:rsidRPr="00EB5C4F">
        <w:rPr>
          <w:rFonts w:ascii="Calibri" w:hAnsi="Calibri" w:cs="Calibri"/>
          <w:sz w:val="22"/>
          <w:szCs w:val="22"/>
        </w:rPr>
        <w:t xml:space="preserve">Council considered the ongoing development of the University’s governance framework, including progress on the Council Governance Charter. </w:t>
      </w:r>
    </w:p>
    <w:p w14:paraId="37FB8ABA" w14:textId="4749ED27" w:rsidR="005A57DB" w:rsidRPr="00EB5C4F" w:rsidRDefault="005A57DB" w:rsidP="005A57DB">
      <w:pPr>
        <w:jc w:val="both"/>
        <w:rPr>
          <w:rFonts w:ascii="Calibri" w:hAnsi="Calibri" w:cs="Calibri"/>
          <w:sz w:val="22"/>
          <w:szCs w:val="22"/>
        </w:rPr>
      </w:pPr>
      <w:r w:rsidRPr="00EB5C4F">
        <w:rPr>
          <w:rFonts w:ascii="Calibri" w:hAnsi="Calibri" w:cs="Calibri"/>
          <w:sz w:val="22"/>
          <w:szCs w:val="22"/>
        </w:rPr>
        <w:t xml:space="preserve">Council also approved amendments to the Terms of Reference of </w:t>
      </w:r>
      <w:r w:rsidR="00A85AF6" w:rsidRPr="00EB5C4F">
        <w:rPr>
          <w:rFonts w:ascii="Calibri" w:hAnsi="Calibri" w:cs="Calibri"/>
          <w:sz w:val="22"/>
          <w:szCs w:val="22"/>
        </w:rPr>
        <w:t>its</w:t>
      </w:r>
      <w:r w:rsidRPr="00EB5C4F">
        <w:rPr>
          <w:rFonts w:ascii="Calibri" w:hAnsi="Calibri" w:cs="Calibri"/>
          <w:sz w:val="22"/>
          <w:szCs w:val="22"/>
        </w:rPr>
        <w:t xml:space="preserve"> Audit and Risk Committee and the People, Culture and University Community Safety Committee, reflecting refinements as the University continues to embed its operating and assurance arrangements.</w:t>
      </w:r>
    </w:p>
    <w:p w14:paraId="6DBF2D99" w14:textId="77777777" w:rsidR="005A57DB" w:rsidRPr="005A57DB" w:rsidRDefault="005A57DB" w:rsidP="005A57DB">
      <w:pPr>
        <w:jc w:val="both"/>
        <w:rPr>
          <w:rFonts w:ascii="Calibri" w:hAnsi="Calibri" w:cs="Calibri"/>
          <w:sz w:val="22"/>
          <w:szCs w:val="22"/>
        </w:rPr>
      </w:pPr>
      <w:r w:rsidRPr="00EB5C4F">
        <w:rPr>
          <w:rFonts w:ascii="Calibri" w:hAnsi="Calibri" w:cs="Calibri"/>
          <w:i/>
          <w:iCs/>
          <w:sz w:val="22"/>
          <w:szCs w:val="22"/>
        </w:rPr>
        <w:t>This summary is published to support transparency and community understanding of Council’s deliberations and decisions. Confidential matters considered by Council are excluded.</w:t>
      </w:r>
    </w:p>
    <w:p w14:paraId="2AFC0492" w14:textId="77777777" w:rsidR="001673C0" w:rsidRDefault="001673C0"/>
    <w:sectPr w:rsidR="00167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DB"/>
    <w:rsid w:val="00126094"/>
    <w:rsid w:val="00127E51"/>
    <w:rsid w:val="001673C0"/>
    <w:rsid w:val="00376A33"/>
    <w:rsid w:val="005A57DB"/>
    <w:rsid w:val="00733B5D"/>
    <w:rsid w:val="00880BA8"/>
    <w:rsid w:val="00A85AF6"/>
    <w:rsid w:val="00C044C5"/>
    <w:rsid w:val="00DA4475"/>
    <w:rsid w:val="00DB6DBD"/>
    <w:rsid w:val="00DC3AE6"/>
    <w:rsid w:val="00EB5C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0FF3"/>
  <w15:chartTrackingRefBased/>
  <w15:docId w15:val="{146B1A47-D537-404C-8567-E0F08B3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5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5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5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5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7DB"/>
    <w:rPr>
      <w:rFonts w:eastAsiaTheme="majorEastAsia" w:cstheme="majorBidi"/>
      <w:color w:val="272727" w:themeColor="text1" w:themeTint="D8"/>
    </w:rPr>
  </w:style>
  <w:style w:type="paragraph" w:styleId="Title">
    <w:name w:val="Title"/>
    <w:basedOn w:val="Normal"/>
    <w:next w:val="Normal"/>
    <w:link w:val="TitleChar"/>
    <w:uiPriority w:val="10"/>
    <w:qFormat/>
    <w:rsid w:val="005A5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7DB"/>
    <w:pPr>
      <w:spacing w:before="160"/>
      <w:jc w:val="center"/>
    </w:pPr>
    <w:rPr>
      <w:i/>
      <w:iCs/>
      <w:color w:val="404040" w:themeColor="text1" w:themeTint="BF"/>
    </w:rPr>
  </w:style>
  <w:style w:type="character" w:customStyle="1" w:styleId="QuoteChar">
    <w:name w:val="Quote Char"/>
    <w:basedOn w:val="DefaultParagraphFont"/>
    <w:link w:val="Quote"/>
    <w:uiPriority w:val="29"/>
    <w:rsid w:val="005A57DB"/>
    <w:rPr>
      <w:i/>
      <w:iCs/>
      <w:color w:val="404040" w:themeColor="text1" w:themeTint="BF"/>
    </w:rPr>
  </w:style>
  <w:style w:type="paragraph" w:styleId="ListParagraph">
    <w:name w:val="List Paragraph"/>
    <w:basedOn w:val="Normal"/>
    <w:uiPriority w:val="34"/>
    <w:qFormat/>
    <w:rsid w:val="005A57DB"/>
    <w:pPr>
      <w:ind w:left="720"/>
      <w:contextualSpacing/>
    </w:pPr>
  </w:style>
  <w:style w:type="character" w:styleId="IntenseEmphasis">
    <w:name w:val="Intense Emphasis"/>
    <w:basedOn w:val="DefaultParagraphFont"/>
    <w:uiPriority w:val="21"/>
    <w:qFormat/>
    <w:rsid w:val="005A57DB"/>
    <w:rPr>
      <w:i/>
      <w:iCs/>
      <w:color w:val="0F4761" w:themeColor="accent1" w:themeShade="BF"/>
    </w:rPr>
  </w:style>
  <w:style w:type="paragraph" w:styleId="IntenseQuote">
    <w:name w:val="Intense Quote"/>
    <w:basedOn w:val="Normal"/>
    <w:next w:val="Normal"/>
    <w:link w:val="IntenseQuoteChar"/>
    <w:uiPriority w:val="30"/>
    <w:qFormat/>
    <w:rsid w:val="005A5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7DB"/>
    <w:rPr>
      <w:i/>
      <w:iCs/>
      <w:color w:val="0F4761" w:themeColor="accent1" w:themeShade="BF"/>
    </w:rPr>
  </w:style>
  <w:style w:type="character" w:styleId="IntenseReference">
    <w:name w:val="Intense Reference"/>
    <w:basedOn w:val="DefaultParagraphFont"/>
    <w:uiPriority w:val="32"/>
    <w:qFormat/>
    <w:rsid w:val="005A57DB"/>
    <w:rPr>
      <w:b/>
      <w:bCs/>
      <w:smallCaps/>
      <w:color w:val="0F4761" w:themeColor="accent1" w:themeShade="BF"/>
      <w:spacing w:val="5"/>
    </w:rPr>
  </w:style>
  <w:style w:type="paragraph" w:styleId="Revision">
    <w:name w:val="Revision"/>
    <w:hidden/>
    <w:uiPriority w:val="99"/>
    <w:semiHidden/>
    <w:rsid w:val="00A85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Jane Triggs</dc:creator>
  <cp:keywords/>
  <dc:description/>
  <cp:lastModifiedBy>Rachel Triggs (Transition Council)</cp:lastModifiedBy>
  <cp:revision>3</cp:revision>
  <dcterms:created xsi:type="dcterms:W3CDTF">2026-04-28T05:21:00Z</dcterms:created>
  <dcterms:modified xsi:type="dcterms:W3CDTF">2026-04-28T05:21:00Z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2026-04-14T09:16:51Z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f290baf1-9be9-4d31-9769-f910a2e39609</vt:lpwstr>
  </property>
  <property fmtid="{D5CDD505-2E9C-101B-9397-08002B2CF9AE}" pid="7" name="MSIP_Label_defa4170-0d19-0005-0004-bc88714345d2_ActionId">
    <vt:lpwstr>f6dc9b01-80e2-4adb-8a8b-691e45b6c2d6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